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4F" w:rsidRPr="00740F8E" w:rsidRDefault="00740F8E" w:rsidP="00740F8E">
      <w:pPr>
        <w:jc w:val="center"/>
        <w:rPr>
          <w:b/>
          <w:u w:val="single"/>
        </w:rPr>
      </w:pPr>
      <w:bookmarkStart w:id="0" w:name="_GoBack"/>
      <w:r w:rsidRPr="00740F8E">
        <w:rPr>
          <w:b/>
          <w:u w:val="single"/>
        </w:rPr>
        <w:t>ΤΕΧΝΙΚΕΣ ΠΡΟΔΙΑΓΡΑΦΕΣ ΣΚΟΝΗΣ ΠΛΥΝΤΗΡΙΟΥ ΡΟΥΧΩΝ</w:t>
      </w:r>
    </w:p>
    <w:bookmarkEnd w:id="0"/>
    <w:p w:rsidR="00740F8E" w:rsidRDefault="00740F8E"/>
    <w:p w:rsidR="00740F8E" w:rsidRDefault="00740F8E">
      <w:r w:rsidRPr="00740F8E">
        <w:t xml:space="preserve">Απορρυπαντικό πλυντηρίου για δύσκολους ρύπους (συσκευασία επαγγελματική). Σε μορφή σκόνης που να περιέχει μίγμα </w:t>
      </w:r>
      <w:proofErr w:type="spellStart"/>
      <w:r w:rsidRPr="00740F8E">
        <w:t>τασιενεργών</w:t>
      </w:r>
      <w:proofErr w:type="spellEnd"/>
      <w:r w:rsidRPr="00740F8E">
        <w:t xml:space="preserve"> συστατικών, λευκαντικών παραγόντων και ενζύμων, τα οποία θα ενεργοποιούνται ακόμη και σε μέτριες θερμοκρασίες . Οι κόκκοι να διαλύονται εύκολα στο νερό και να μην </w:t>
      </w:r>
      <w:proofErr w:type="spellStart"/>
      <w:r w:rsidRPr="00740F8E">
        <w:t>συσσωρέυονται</w:t>
      </w:r>
      <w:proofErr w:type="spellEnd"/>
      <w:r w:rsidRPr="00740F8E">
        <w:t xml:space="preserve"> κατά την ροή νερού μέσω της ειδικής θέσης του απορρυπαντικού στο πλυντήριο. Κατάλληλο για χρήση σε κάθε τύπο σκληρότητας νερών.  Να περιέχει </w:t>
      </w:r>
      <w:proofErr w:type="spellStart"/>
      <w:r w:rsidRPr="00740F8E">
        <w:t>τασιενεργά</w:t>
      </w:r>
      <w:proofErr w:type="spellEnd"/>
      <w:r w:rsidRPr="00740F8E">
        <w:t xml:space="preserve">, πυριτικά άλατα, πρωτεολυτικά ένζυμα για την απομάκρυνση ρύπων πρωτεϊνικής φύσης και λευκαντικούς παράγοντες με βάση το οξυγόνο. Να μην περιέχει φώσφορο. Τα συστατικά να είναι σύμφωνα με τον Κανονισμό Απορρυπαντικών 648/2004/ΕΚ και όπως τροποποιήθηκε με τον με </w:t>
      </w:r>
      <w:proofErr w:type="spellStart"/>
      <w:r w:rsidRPr="00740F8E">
        <w:t>αρ</w:t>
      </w:r>
      <w:proofErr w:type="spellEnd"/>
      <w:r w:rsidRPr="00740F8E">
        <w:t>. 259/2012 ΕΕ. Σε συσκευασία 15 - 20 κιλών με δοσομετρητή (αντλίες, μεζούρες).  Να υπάρχει πίνακας προτεινόμενων δοσολογιών χρήσης. Να δίνεται το οικονομικό κόστος διαλύματος έπειτα από την προτεινόμενη δοσολογία χρήσης ανά κιλό ρούχων. Να κατατεθεί τεχνικό φυλλάδιο και το δελτίο δεδομένων ασφαλείας προϊόντος στα Ελληνικά σύμφωνα με την ισχύουσα οδηγία Ε.Ε. 1907/2006 όπως έχει τροποποιηθεί και ισχύει κι τον κανονισμό ΕΚ 1272/2008 CLP. Με καταχώρηση στο Εθνικό Μητρώο Χημικών Προϊόντων (Ε.Μ.Χ.Π.)</w:t>
      </w:r>
    </w:p>
    <w:sectPr w:rsidR="00740F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8E"/>
    <w:rsid w:val="004D6C4F"/>
    <w:rsid w:val="00740F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249E"/>
  <w15:chartTrackingRefBased/>
  <w15:docId w15:val="{3E5DC7BA-AF49-4BAD-9993-2123A2CA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1067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2025-04-16T07:38:00Z</dcterms:created>
  <dcterms:modified xsi:type="dcterms:W3CDTF">2025-04-16T07:38:00Z</dcterms:modified>
</cp:coreProperties>
</file>