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537A" w:rsidRDefault="00A9537A" w:rsidP="00A9537A">
      <w:r>
        <w:t xml:space="preserve">Πυκνό διάλυμα </w:t>
      </w:r>
      <w:proofErr w:type="spellStart"/>
      <w:r>
        <w:t>υποχλωριώδους</w:t>
      </w:r>
      <w:proofErr w:type="spellEnd"/>
      <w:r>
        <w:t xml:space="preserve"> Νατρίου κατάλληλο για χρήση σε επαγγελματικό πλυντήριο.</w:t>
      </w:r>
    </w:p>
    <w:p w:rsidR="00A9537A" w:rsidRDefault="00A9537A" w:rsidP="00A9537A">
      <w:r>
        <w:t xml:space="preserve">Να περιέχει λευκαντικούς παράγοντες με βάση το </w:t>
      </w:r>
      <w:proofErr w:type="spellStart"/>
      <w:r>
        <w:t>υποχλωριώδες</w:t>
      </w:r>
      <w:proofErr w:type="spellEnd"/>
      <w:r>
        <w:t xml:space="preserve"> νάτριο από 3,0% και άνω.</w:t>
      </w:r>
    </w:p>
    <w:p w:rsidR="00A9537A" w:rsidRDefault="00A9537A" w:rsidP="00A9537A">
      <w:r>
        <w:t>Να αποδίδει ενεργό χλώριο.</w:t>
      </w:r>
    </w:p>
    <w:p w:rsidR="00A9537A" w:rsidRDefault="00A9537A" w:rsidP="00A9537A">
      <w:r>
        <w:t>Να είναι σε παχύρευστη μορφή.</w:t>
      </w:r>
    </w:p>
    <w:p w:rsidR="00A9537A" w:rsidRDefault="00A9537A" w:rsidP="00A9537A">
      <w:r>
        <w:t>Να είναι τριπλά φιλτραρισμένη για την απομάκρυνση των ακαθαρσιών που μειώνουν την δράση της.</w:t>
      </w:r>
    </w:p>
    <w:p w:rsidR="00A9537A" w:rsidRDefault="00A9537A" w:rsidP="00A9537A">
      <w:r>
        <w:t>Να φέρει την Έγκριση από τον Οργανισμό Φαρμάκων (Ε.Ο.Φ.) για την απολυμαντική δράση του προϊόντος και καταχώρηση στο Ε.Μ.Χ.Π.</w:t>
      </w:r>
    </w:p>
    <w:p w:rsidR="00A9537A" w:rsidRDefault="00A9537A" w:rsidP="00A9537A">
      <w:r>
        <w:t>Να διατίθεται σε επαγγελματική συσκευασία έως 20 λίτρα.</w:t>
      </w:r>
    </w:p>
    <w:p w:rsidR="00416ABD" w:rsidRDefault="00A9537A" w:rsidP="00A9537A">
      <w:r>
        <w:t>Να κατατεθεί η  καταχώρηση Ε.Μ.Χ.Π., άδεια Ε.Ο.Φ. καθώς και το τεχνικό φυλλάδιο του προϊόντος &amp; το Δελτίο Δεδομένων Ασφαλείας στην ελληνική γλώσσα, σύμφωνα με την ισχύουσα Ευρωπαϊκή Οδηγία 1907/2006 όπως έχει τροποποιηθεί και ισχύει και τον Κανονισμό ΕΚ 1272-2008 CLP. Να δίνεται το οικονομικό κόστος διαλύματος έπειτα από την προτεινόμενη δοσολογία χρήσης από την προτεινόμενη αραίωση ανά κιλό στεγνού ιματισμού, όπως αυτή ορίζεται στο τεχνικό φυλλάδιο.</w:t>
      </w:r>
      <w:bookmarkStart w:id="0" w:name="_GoBack"/>
      <w:bookmarkEnd w:id="0"/>
    </w:p>
    <w:sectPr w:rsidR="00416AB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37A"/>
    <w:rsid w:val="00416ABD"/>
    <w:rsid w:val="00A9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745F3A-2914-4B80-8218-D87D5CCF2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2026-05-05T05:23:00Z</dcterms:created>
  <dcterms:modified xsi:type="dcterms:W3CDTF">2026-05-05T05:24:00Z</dcterms:modified>
</cp:coreProperties>
</file>