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Look w:val="04A0" w:firstRow="1" w:lastRow="0" w:firstColumn="1" w:lastColumn="0" w:noHBand="0" w:noVBand="1"/>
      </w:tblPr>
      <w:tblGrid>
        <w:gridCol w:w="8296"/>
      </w:tblGrid>
      <w:tr w:rsidR="0019519D" w:rsidRPr="0019519D" w:rsidTr="0019519D">
        <w:trPr>
          <w:trHeight w:val="450"/>
        </w:trPr>
        <w:tc>
          <w:tcPr>
            <w:tcW w:w="16380" w:type="dxa"/>
            <w:vMerge w:val="restart"/>
            <w:hideMark/>
          </w:tcPr>
          <w:p w:rsidR="0019519D" w:rsidRPr="0019519D" w:rsidRDefault="0019519D">
            <w:pPr>
              <w:rPr>
                <w:b/>
                <w:bCs/>
              </w:rPr>
            </w:pPr>
            <w:bookmarkStart w:id="0" w:name="_GoBack"/>
            <w:bookmarkEnd w:id="0"/>
            <w:r w:rsidRPr="0019519D">
              <w:rPr>
                <w:b/>
                <w:bCs/>
                <w:u w:val="single"/>
              </w:rPr>
              <w:t>ΤΕΧΝΙΚΕΣ ΑΠΑΙΤΗΣΕΙΣ</w:t>
            </w:r>
            <w:r w:rsidRPr="0019519D">
              <w:rPr>
                <w:b/>
                <w:bCs/>
              </w:rPr>
              <w:br/>
              <w:t xml:space="preserve">1. Να κατατεθεί για όλα τα είδη πρωτότυπο φυλλάδιο οδηγιών του κατασκευαστή οίκου στα Ελληνικά. </w:t>
            </w:r>
            <w:r w:rsidRPr="0019519D">
              <w:rPr>
                <w:b/>
                <w:bCs/>
              </w:rPr>
              <w:br/>
              <w:t xml:space="preserve">2. Να κατατεθεί κλινική βιβλιογραφία και να περιλαμβάνονται τουλάχιστον δύο δημοσιευμένες κλινικές μελέτες για το κάθε προσφερόμενο είδος ή κλινικές μελέτες με προϊόντα του ιδίου κατασκευαστικού οίκου με αντίστοιχα τεχνικά χαρακτηριστικά σύμφωνα και με MDR </w:t>
            </w:r>
            <w:proofErr w:type="spellStart"/>
            <w:r w:rsidRPr="0019519D">
              <w:rPr>
                <w:b/>
                <w:bCs/>
              </w:rPr>
              <w:t>article</w:t>
            </w:r>
            <w:proofErr w:type="spellEnd"/>
            <w:r w:rsidRPr="0019519D">
              <w:rPr>
                <w:b/>
                <w:bCs/>
              </w:rPr>
              <w:t xml:space="preserve"> 61 </w:t>
            </w:r>
            <w:proofErr w:type="spellStart"/>
            <w:r w:rsidRPr="0019519D">
              <w:rPr>
                <w:b/>
                <w:bCs/>
              </w:rPr>
              <w:t>Clinical</w:t>
            </w:r>
            <w:proofErr w:type="spellEnd"/>
            <w:r w:rsidRPr="0019519D">
              <w:rPr>
                <w:b/>
                <w:bCs/>
              </w:rPr>
              <w:t xml:space="preserve"> </w:t>
            </w:r>
            <w:proofErr w:type="spellStart"/>
            <w:r w:rsidRPr="0019519D">
              <w:rPr>
                <w:b/>
                <w:bCs/>
              </w:rPr>
              <w:t>Evaluation</w:t>
            </w:r>
            <w:proofErr w:type="spellEnd"/>
            <w:r w:rsidRPr="0019519D">
              <w:rPr>
                <w:b/>
                <w:bCs/>
              </w:rPr>
              <w:t xml:space="preserve"> </w:t>
            </w:r>
            <w:proofErr w:type="spellStart"/>
            <w:r w:rsidRPr="0019519D">
              <w:rPr>
                <w:b/>
                <w:bCs/>
              </w:rPr>
              <w:t>annex</w:t>
            </w:r>
            <w:proofErr w:type="spellEnd"/>
            <w:r w:rsidRPr="0019519D">
              <w:rPr>
                <w:b/>
                <w:bCs/>
              </w:rPr>
              <w:t xml:space="preserve"> III, </w:t>
            </w:r>
            <w:proofErr w:type="spellStart"/>
            <w:r w:rsidRPr="0019519D">
              <w:rPr>
                <w:b/>
                <w:bCs/>
              </w:rPr>
              <w:t>Clinical</w:t>
            </w:r>
            <w:proofErr w:type="spellEnd"/>
            <w:r w:rsidRPr="0019519D">
              <w:rPr>
                <w:b/>
                <w:bCs/>
              </w:rPr>
              <w:t xml:space="preserve"> </w:t>
            </w:r>
            <w:proofErr w:type="spellStart"/>
            <w:r w:rsidRPr="0019519D">
              <w:rPr>
                <w:b/>
                <w:bCs/>
              </w:rPr>
              <w:t>Evaluation</w:t>
            </w:r>
            <w:proofErr w:type="spellEnd"/>
            <w:r w:rsidRPr="0019519D">
              <w:rPr>
                <w:b/>
                <w:bCs/>
              </w:rPr>
              <w:t xml:space="preserve"> and Post Market </w:t>
            </w:r>
            <w:proofErr w:type="spellStart"/>
            <w:r w:rsidRPr="0019519D">
              <w:rPr>
                <w:b/>
                <w:bCs/>
              </w:rPr>
              <w:t>Clinical</w:t>
            </w:r>
            <w:proofErr w:type="spellEnd"/>
            <w:r w:rsidRPr="0019519D">
              <w:rPr>
                <w:b/>
                <w:bCs/>
              </w:rPr>
              <w:t xml:space="preserve"> </w:t>
            </w:r>
            <w:proofErr w:type="spellStart"/>
            <w:r w:rsidRPr="0019519D">
              <w:rPr>
                <w:b/>
                <w:bCs/>
              </w:rPr>
              <w:t>Follow</w:t>
            </w:r>
            <w:proofErr w:type="spellEnd"/>
            <w:r w:rsidRPr="0019519D">
              <w:rPr>
                <w:b/>
                <w:bCs/>
              </w:rPr>
              <w:t xml:space="preserve"> </w:t>
            </w:r>
            <w:proofErr w:type="spellStart"/>
            <w:r w:rsidRPr="0019519D">
              <w:rPr>
                <w:b/>
                <w:bCs/>
              </w:rPr>
              <w:t>up</w:t>
            </w:r>
            <w:proofErr w:type="spellEnd"/>
            <w:r w:rsidRPr="0019519D">
              <w:rPr>
                <w:b/>
                <w:bCs/>
              </w:rPr>
              <w:t xml:space="preserve"> </w:t>
            </w:r>
            <w:proofErr w:type="spellStart"/>
            <w:r w:rsidRPr="0019519D">
              <w:rPr>
                <w:b/>
                <w:bCs/>
              </w:rPr>
              <w:t>annex</w:t>
            </w:r>
            <w:proofErr w:type="spellEnd"/>
            <w:r w:rsidRPr="0019519D">
              <w:rPr>
                <w:b/>
                <w:bCs/>
              </w:rPr>
              <w:t xml:space="preserve"> XIV και τα πνευματικά δικαιώματα των συγγραφέων. </w:t>
            </w:r>
            <w:r w:rsidRPr="0019519D">
              <w:rPr>
                <w:b/>
                <w:bCs/>
              </w:rPr>
              <w:br/>
              <w:t xml:space="preserve">3. H Ημερομηνία λήξεως των εργαλείων να είναι άνω των 2 ετών. </w:t>
            </w:r>
            <w:r w:rsidRPr="0019519D">
              <w:rPr>
                <w:b/>
                <w:bCs/>
              </w:rPr>
              <w:br/>
              <w:t xml:space="preserve">4. Η επιτροπή τεχνικής αξιολόγησης έχει δικαίωμα να ζητήσει δείγματα πέραν από τα ζητούμενα της διακήρυξης αν αυτό θεωρηθεί σκόπιμο. Λόγος απόρριψης θα αποτελεί το αποτέλεσμα μετά από χρήση σε χειρουργείο ή σε προσομοίωση χειρουργείου. </w:t>
            </w:r>
            <w:r w:rsidRPr="0019519D">
              <w:rPr>
                <w:b/>
                <w:bCs/>
              </w:rPr>
              <w:br/>
              <w:t xml:space="preserve">5. Όπου ζητείται εργαλείο και ανταλλακτικές κεφαλές είναι απαραίτητη η προσφορά σε όλους τους αύξοντες που περιλαμβάνονται (εργαλείου και ανταλλακτικών κεφαλών), επί ποινή απόρριψης. </w:t>
            </w:r>
            <w:r w:rsidRPr="0019519D">
              <w:rPr>
                <w:b/>
                <w:bCs/>
              </w:rPr>
              <w:br/>
              <w:t xml:space="preserve">6.  Η προμηθεύτρια εταιρεία, σε περίπτωση που είναι διαφορετική από την κατασκευάστρια, να καταθέσει υπεύθυνη δήλωση που να αναφέρει ότι είναι εξουσιοδοτημένη από τον κατασκευαστικό οίκο για την τεχνική υποστήριξη των προϊόντων και την τήρηση των διαδικασιών σε πιθανή ανάκληση/απόσυρση προϊόντος. </w:t>
            </w:r>
            <w:r w:rsidRPr="0019519D">
              <w:rPr>
                <w:b/>
                <w:bCs/>
              </w:rPr>
              <w:br/>
              <w:t xml:space="preserve">7. Η κάθε προσφέρουσα εταιρεία, σε περίπτωση που είναι διαφορετική από την κατασκευάστρια, να προσκομίσει δήλωση της κατασκευάστριας εταιρείας που να αναφέρεται στον συγκεκριμένο διαγωνισμό και να δηλώνει ότι σε περίπτωση κατακύρωσης σύμβασης στην προσφέρουσα εταιρεία, η κατασκευάστρια θα δεσμευτεί να την προμηθεύσει με τη συγκεκριμένη ποσότητα των </w:t>
            </w:r>
            <w:proofErr w:type="spellStart"/>
            <w:r w:rsidRPr="0019519D">
              <w:rPr>
                <w:b/>
                <w:bCs/>
              </w:rPr>
              <w:t>κατακυρωθέντων</w:t>
            </w:r>
            <w:proofErr w:type="spellEnd"/>
            <w:r w:rsidRPr="0019519D">
              <w:rPr>
                <w:b/>
                <w:bCs/>
              </w:rPr>
              <w:t xml:space="preserve"> ειδών της σύμβασης. </w:t>
            </w:r>
            <w:r w:rsidRPr="0019519D">
              <w:rPr>
                <w:b/>
                <w:bCs/>
              </w:rPr>
              <w:br/>
              <w:t xml:space="preserve">8. Η κάθε προσφέρουσα εταιρεία, σε περίπτωση που είναι διαφορετική από την κατασκευάστρια, να προσκομίσει δήλωση της κατασκευάστριας εταιρείας που να δηλώνει ότι η προσφέρουσα θα ενημερώνεται για όλες τις πιθανές ανακλήσεις/αποσύρσεις προϊόντων, σχετικές με τα είδη που έχει προσφέρει στο διαγωνισμό. </w:t>
            </w:r>
            <w:r w:rsidRPr="0019519D">
              <w:rPr>
                <w:b/>
                <w:bCs/>
              </w:rPr>
              <w:br/>
              <w:t xml:space="preserve">9. Η κάθε προσφέρουσα εταιρεία, να διαθέτει άρτια εκπαιδευμένο/πιστοποιημένο προσωπικό από την κατασκευάστρια εταιρεία (πιστοποίηση έως 2 προηγούμενα έτη) για την τεχνική υποστήριξη στο χειρουργείο και εξουσιοδοτημένο τμήμα </w:t>
            </w:r>
            <w:proofErr w:type="spellStart"/>
            <w:r w:rsidRPr="0019519D">
              <w:rPr>
                <w:b/>
                <w:bCs/>
              </w:rPr>
              <w:t>service</w:t>
            </w:r>
            <w:proofErr w:type="spellEnd"/>
            <w:r w:rsidRPr="0019519D">
              <w:rPr>
                <w:b/>
                <w:bCs/>
              </w:rPr>
              <w:t xml:space="preserve"> με 24ωρη κάλυψη για πιθανό απαραίτητο συνοδό εξοπλισμό για την κατηγορία Η. </w:t>
            </w:r>
            <w:r w:rsidRPr="0019519D">
              <w:rPr>
                <w:b/>
                <w:bCs/>
              </w:rPr>
              <w:br/>
              <w:t xml:space="preserve">10. Δήλωση του κατασκευαστικού οίκου ότι τα προϊόντα είναι γνήσια και αμεταχείριστα. </w:t>
            </w:r>
            <w:r w:rsidRPr="0019519D">
              <w:rPr>
                <w:b/>
                <w:bCs/>
              </w:rPr>
              <w:br/>
              <w:t xml:space="preserve">11. Για την τεχνική και επαγγελματική ικανότητα οι οικονομικοί φορείς απαιτείται: α. να δηλώσουν ότι διαθέτουν μόνιμα οργανωμένο τμήμα τεχνικής υποστήριξης, κατάλληλα εκπαιδευμένου-εξειδικευμένου και να καταθέσουν πιστοποιητικό εκπαίδευσης και εξουσιοδότηση αυτού από τον κατασκευαστικό οίκο β. να κατατεθεί κατάλογος των κυριότερων παραδόσεων με αναφορά στην αξία της σύμβασης, των προσφερόμενων προϊόντων και τους χρόνους παράδοσης. </w:t>
            </w:r>
            <w:r w:rsidRPr="0019519D">
              <w:rPr>
                <w:b/>
                <w:bCs/>
              </w:rPr>
              <w:br/>
              <w:t xml:space="preserve">12. Τα προσφερόμενα υλικά θα πρέπει να είναι κοινοποιημένα στον ΕΟΦ και να διαθέτουν τον αντίστοιχο κωδικό. </w:t>
            </w:r>
            <w:r w:rsidRPr="0019519D">
              <w:rPr>
                <w:b/>
                <w:bCs/>
              </w:rPr>
              <w:br/>
              <w:t xml:space="preserve">13. Επί ποινής αποκλεισμού θα πρέπει να κατατεθούν για κάθε προσφερόμενο είδος τα πιστοποιητικά: ISO13485, Δήλωση Συμμόρφωσης, Πιστοποιητικό CE, Πιστοποιητικό Σχεδιασμού CE. </w:t>
            </w:r>
            <w:r w:rsidRPr="0019519D">
              <w:rPr>
                <w:b/>
                <w:bCs/>
              </w:rPr>
              <w:br/>
              <w:t xml:space="preserve">14. Για κάθε είδος και για όλες τις γενικές και ειδικές τεχνικές προδιαγραφές που ζητούνται θα πρέπει να συμπληρωθεί αναλυτικό φύλλο συμμόρφωσης με παραπομπή </w:t>
            </w:r>
            <w:r w:rsidRPr="0019519D">
              <w:rPr>
                <w:b/>
                <w:bCs/>
              </w:rPr>
              <w:lastRenderedPageBreak/>
              <w:t xml:space="preserve">σε κωδικό και σε σελίδα καταλόγου ή/και τεχνικών φυλλαδίων της κατασκευάστριας εταιρείας. Όλοι οι κωδικοί και οι τεχνικές προδιαγραφές που ζητούνται θα πρέπει να επισημαίνονται στους αντίστοιχους καταλόγους ή/και τα τεχνικά φυλλάδια, που θα επισυνάπτονται. Προσφορές που υποβάλλονται χωρίς να περιλαμβάνονται τα πιο πάνω στοιχεία να απορρίπτονται. </w:t>
            </w:r>
            <w:r w:rsidRPr="0019519D">
              <w:rPr>
                <w:b/>
                <w:bCs/>
              </w:rPr>
              <w:br/>
              <w:t>15. Σε κάθε α/α στον οποίο προτείνεται αναλώσιμο που χρήζει εξοπλισμό/γεννήτρια για να λειτουργήσει, ο μειοδότης οφείλει να παραχωρήσει τον απαραίτητο συνοδό εξοπλισμό δωρεάν προς χρήση για όσο διάστημα διαρκέσει η προμήθεια.</w:t>
            </w:r>
          </w:p>
        </w:tc>
      </w:tr>
      <w:tr w:rsidR="0019519D" w:rsidRPr="0019519D" w:rsidTr="0019519D">
        <w:trPr>
          <w:trHeight w:val="450"/>
        </w:trPr>
        <w:tc>
          <w:tcPr>
            <w:tcW w:w="16380" w:type="dxa"/>
            <w:vMerge/>
            <w:hideMark/>
          </w:tcPr>
          <w:p w:rsidR="0019519D" w:rsidRPr="0019519D" w:rsidRDefault="0019519D">
            <w:pPr>
              <w:rPr>
                <w:b/>
                <w:bCs/>
              </w:rPr>
            </w:pPr>
          </w:p>
        </w:tc>
      </w:tr>
      <w:tr w:rsidR="0019519D" w:rsidRPr="0019519D" w:rsidTr="0019519D">
        <w:trPr>
          <w:trHeight w:val="450"/>
        </w:trPr>
        <w:tc>
          <w:tcPr>
            <w:tcW w:w="16380" w:type="dxa"/>
            <w:vMerge/>
            <w:hideMark/>
          </w:tcPr>
          <w:p w:rsidR="0019519D" w:rsidRPr="0019519D" w:rsidRDefault="0019519D">
            <w:pPr>
              <w:rPr>
                <w:b/>
                <w:bCs/>
              </w:rPr>
            </w:pPr>
          </w:p>
        </w:tc>
      </w:tr>
      <w:tr w:rsidR="0019519D" w:rsidRPr="0019519D" w:rsidTr="0019519D">
        <w:trPr>
          <w:trHeight w:val="450"/>
        </w:trPr>
        <w:tc>
          <w:tcPr>
            <w:tcW w:w="16380" w:type="dxa"/>
            <w:vMerge/>
            <w:hideMark/>
          </w:tcPr>
          <w:p w:rsidR="0019519D" w:rsidRPr="0019519D" w:rsidRDefault="0019519D">
            <w:pPr>
              <w:rPr>
                <w:b/>
                <w:bCs/>
              </w:rPr>
            </w:pPr>
          </w:p>
        </w:tc>
      </w:tr>
      <w:tr w:rsidR="0019519D" w:rsidRPr="0019519D" w:rsidTr="0019519D">
        <w:trPr>
          <w:trHeight w:val="450"/>
        </w:trPr>
        <w:tc>
          <w:tcPr>
            <w:tcW w:w="16380" w:type="dxa"/>
            <w:vMerge/>
            <w:hideMark/>
          </w:tcPr>
          <w:p w:rsidR="0019519D" w:rsidRPr="0019519D" w:rsidRDefault="0019519D">
            <w:pPr>
              <w:rPr>
                <w:b/>
                <w:bCs/>
              </w:rPr>
            </w:pPr>
          </w:p>
        </w:tc>
      </w:tr>
      <w:tr w:rsidR="0019519D" w:rsidRPr="0019519D" w:rsidTr="0019519D">
        <w:trPr>
          <w:trHeight w:val="450"/>
        </w:trPr>
        <w:tc>
          <w:tcPr>
            <w:tcW w:w="16380" w:type="dxa"/>
            <w:vMerge/>
            <w:hideMark/>
          </w:tcPr>
          <w:p w:rsidR="0019519D" w:rsidRPr="0019519D" w:rsidRDefault="0019519D">
            <w:pPr>
              <w:rPr>
                <w:b/>
                <w:bCs/>
              </w:rPr>
            </w:pPr>
          </w:p>
        </w:tc>
      </w:tr>
      <w:tr w:rsidR="0019519D" w:rsidRPr="0019519D" w:rsidTr="0019519D">
        <w:trPr>
          <w:trHeight w:val="450"/>
        </w:trPr>
        <w:tc>
          <w:tcPr>
            <w:tcW w:w="16380" w:type="dxa"/>
            <w:vMerge/>
            <w:hideMark/>
          </w:tcPr>
          <w:p w:rsidR="0019519D" w:rsidRPr="0019519D" w:rsidRDefault="0019519D">
            <w:pPr>
              <w:rPr>
                <w:b/>
                <w:bCs/>
              </w:rPr>
            </w:pPr>
          </w:p>
        </w:tc>
      </w:tr>
      <w:tr w:rsidR="0019519D" w:rsidRPr="0019519D" w:rsidTr="0019519D">
        <w:trPr>
          <w:trHeight w:val="450"/>
        </w:trPr>
        <w:tc>
          <w:tcPr>
            <w:tcW w:w="16380" w:type="dxa"/>
            <w:vMerge/>
            <w:hideMark/>
          </w:tcPr>
          <w:p w:rsidR="0019519D" w:rsidRPr="0019519D" w:rsidRDefault="0019519D">
            <w:pPr>
              <w:rPr>
                <w:b/>
                <w:bCs/>
              </w:rPr>
            </w:pPr>
          </w:p>
        </w:tc>
      </w:tr>
      <w:tr w:rsidR="0019519D" w:rsidRPr="0019519D" w:rsidTr="0019519D">
        <w:trPr>
          <w:trHeight w:val="450"/>
        </w:trPr>
        <w:tc>
          <w:tcPr>
            <w:tcW w:w="16380" w:type="dxa"/>
            <w:vMerge/>
            <w:hideMark/>
          </w:tcPr>
          <w:p w:rsidR="0019519D" w:rsidRPr="0019519D" w:rsidRDefault="0019519D">
            <w:pPr>
              <w:rPr>
                <w:b/>
                <w:bCs/>
              </w:rPr>
            </w:pPr>
          </w:p>
        </w:tc>
      </w:tr>
      <w:tr w:rsidR="0019519D" w:rsidRPr="0019519D" w:rsidTr="0019519D">
        <w:trPr>
          <w:trHeight w:val="450"/>
        </w:trPr>
        <w:tc>
          <w:tcPr>
            <w:tcW w:w="16380" w:type="dxa"/>
            <w:vMerge/>
            <w:hideMark/>
          </w:tcPr>
          <w:p w:rsidR="0019519D" w:rsidRPr="0019519D" w:rsidRDefault="0019519D">
            <w:pPr>
              <w:rPr>
                <w:b/>
                <w:bCs/>
              </w:rPr>
            </w:pPr>
          </w:p>
        </w:tc>
      </w:tr>
      <w:tr w:rsidR="0019519D" w:rsidRPr="0019519D" w:rsidTr="0019519D">
        <w:trPr>
          <w:trHeight w:val="450"/>
        </w:trPr>
        <w:tc>
          <w:tcPr>
            <w:tcW w:w="16380" w:type="dxa"/>
            <w:vMerge/>
            <w:hideMark/>
          </w:tcPr>
          <w:p w:rsidR="0019519D" w:rsidRPr="0019519D" w:rsidRDefault="0019519D">
            <w:pPr>
              <w:rPr>
                <w:b/>
                <w:bCs/>
              </w:rPr>
            </w:pPr>
          </w:p>
        </w:tc>
      </w:tr>
      <w:tr w:rsidR="0019519D" w:rsidRPr="0019519D" w:rsidTr="0019519D">
        <w:trPr>
          <w:trHeight w:val="450"/>
        </w:trPr>
        <w:tc>
          <w:tcPr>
            <w:tcW w:w="16380" w:type="dxa"/>
            <w:vMerge/>
            <w:hideMark/>
          </w:tcPr>
          <w:p w:rsidR="0019519D" w:rsidRPr="0019519D" w:rsidRDefault="0019519D">
            <w:pPr>
              <w:rPr>
                <w:b/>
                <w:bCs/>
              </w:rPr>
            </w:pPr>
          </w:p>
        </w:tc>
      </w:tr>
      <w:tr w:rsidR="0019519D" w:rsidRPr="0019519D" w:rsidTr="0019519D">
        <w:trPr>
          <w:trHeight w:val="450"/>
        </w:trPr>
        <w:tc>
          <w:tcPr>
            <w:tcW w:w="16380" w:type="dxa"/>
            <w:vMerge/>
            <w:hideMark/>
          </w:tcPr>
          <w:p w:rsidR="0019519D" w:rsidRPr="0019519D" w:rsidRDefault="0019519D">
            <w:pPr>
              <w:rPr>
                <w:b/>
                <w:bCs/>
              </w:rPr>
            </w:pPr>
          </w:p>
        </w:tc>
      </w:tr>
      <w:tr w:rsidR="0019519D" w:rsidRPr="0019519D" w:rsidTr="0019519D">
        <w:trPr>
          <w:trHeight w:val="450"/>
        </w:trPr>
        <w:tc>
          <w:tcPr>
            <w:tcW w:w="16380" w:type="dxa"/>
            <w:vMerge/>
            <w:hideMark/>
          </w:tcPr>
          <w:p w:rsidR="0019519D" w:rsidRPr="0019519D" w:rsidRDefault="0019519D">
            <w:pPr>
              <w:rPr>
                <w:b/>
                <w:bCs/>
              </w:rPr>
            </w:pPr>
          </w:p>
        </w:tc>
      </w:tr>
      <w:tr w:rsidR="0019519D" w:rsidRPr="0019519D" w:rsidTr="0019519D">
        <w:trPr>
          <w:trHeight w:val="450"/>
        </w:trPr>
        <w:tc>
          <w:tcPr>
            <w:tcW w:w="16380" w:type="dxa"/>
            <w:vMerge/>
            <w:hideMark/>
          </w:tcPr>
          <w:p w:rsidR="0019519D" w:rsidRPr="0019519D" w:rsidRDefault="0019519D">
            <w:pPr>
              <w:rPr>
                <w:b/>
                <w:bCs/>
              </w:rPr>
            </w:pPr>
          </w:p>
        </w:tc>
      </w:tr>
      <w:tr w:rsidR="0019519D" w:rsidRPr="0019519D" w:rsidTr="0019519D">
        <w:trPr>
          <w:trHeight w:val="450"/>
        </w:trPr>
        <w:tc>
          <w:tcPr>
            <w:tcW w:w="16380" w:type="dxa"/>
            <w:vMerge/>
            <w:hideMark/>
          </w:tcPr>
          <w:p w:rsidR="0019519D" w:rsidRPr="0019519D" w:rsidRDefault="0019519D">
            <w:pPr>
              <w:rPr>
                <w:b/>
                <w:bCs/>
              </w:rPr>
            </w:pPr>
          </w:p>
        </w:tc>
      </w:tr>
      <w:tr w:rsidR="0019519D" w:rsidRPr="0019519D" w:rsidTr="0019519D">
        <w:trPr>
          <w:trHeight w:val="450"/>
        </w:trPr>
        <w:tc>
          <w:tcPr>
            <w:tcW w:w="16380" w:type="dxa"/>
            <w:vMerge/>
            <w:hideMark/>
          </w:tcPr>
          <w:p w:rsidR="0019519D" w:rsidRPr="0019519D" w:rsidRDefault="0019519D">
            <w:pPr>
              <w:rPr>
                <w:b/>
                <w:bCs/>
              </w:rPr>
            </w:pPr>
          </w:p>
        </w:tc>
      </w:tr>
      <w:tr w:rsidR="0019519D" w:rsidRPr="0019519D" w:rsidTr="0019519D">
        <w:trPr>
          <w:trHeight w:val="450"/>
        </w:trPr>
        <w:tc>
          <w:tcPr>
            <w:tcW w:w="16380" w:type="dxa"/>
            <w:vMerge/>
            <w:hideMark/>
          </w:tcPr>
          <w:p w:rsidR="0019519D" w:rsidRPr="0019519D" w:rsidRDefault="0019519D">
            <w:pPr>
              <w:rPr>
                <w:b/>
                <w:bCs/>
              </w:rPr>
            </w:pPr>
          </w:p>
        </w:tc>
      </w:tr>
      <w:tr w:rsidR="0019519D" w:rsidRPr="0019519D" w:rsidTr="0019519D">
        <w:trPr>
          <w:trHeight w:val="450"/>
        </w:trPr>
        <w:tc>
          <w:tcPr>
            <w:tcW w:w="16380" w:type="dxa"/>
            <w:vMerge/>
            <w:hideMark/>
          </w:tcPr>
          <w:p w:rsidR="0019519D" w:rsidRPr="0019519D" w:rsidRDefault="0019519D">
            <w:pPr>
              <w:rPr>
                <w:b/>
                <w:bCs/>
              </w:rPr>
            </w:pPr>
          </w:p>
        </w:tc>
      </w:tr>
      <w:tr w:rsidR="0019519D" w:rsidRPr="0019519D" w:rsidTr="0019519D">
        <w:trPr>
          <w:trHeight w:val="450"/>
        </w:trPr>
        <w:tc>
          <w:tcPr>
            <w:tcW w:w="16380" w:type="dxa"/>
            <w:vMerge/>
            <w:hideMark/>
          </w:tcPr>
          <w:p w:rsidR="0019519D" w:rsidRPr="0019519D" w:rsidRDefault="0019519D">
            <w:pPr>
              <w:rPr>
                <w:b/>
                <w:bCs/>
              </w:rPr>
            </w:pPr>
          </w:p>
        </w:tc>
      </w:tr>
      <w:tr w:rsidR="0019519D" w:rsidRPr="0019519D" w:rsidTr="0019519D">
        <w:trPr>
          <w:trHeight w:val="450"/>
        </w:trPr>
        <w:tc>
          <w:tcPr>
            <w:tcW w:w="16380" w:type="dxa"/>
            <w:vMerge/>
            <w:hideMark/>
          </w:tcPr>
          <w:p w:rsidR="0019519D" w:rsidRPr="0019519D" w:rsidRDefault="0019519D">
            <w:pPr>
              <w:rPr>
                <w:b/>
                <w:bCs/>
              </w:rPr>
            </w:pPr>
          </w:p>
        </w:tc>
      </w:tr>
      <w:tr w:rsidR="0019519D" w:rsidRPr="0019519D" w:rsidTr="0019519D">
        <w:trPr>
          <w:trHeight w:val="450"/>
        </w:trPr>
        <w:tc>
          <w:tcPr>
            <w:tcW w:w="16380" w:type="dxa"/>
            <w:vMerge/>
            <w:hideMark/>
          </w:tcPr>
          <w:p w:rsidR="0019519D" w:rsidRPr="0019519D" w:rsidRDefault="0019519D">
            <w:pPr>
              <w:rPr>
                <w:b/>
                <w:bCs/>
              </w:rPr>
            </w:pPr>
          </w:p>
        </w:tc>
      </w:tr>
    </w:tbl>
    <w:p w:rsidR="0007419A" w:rsidRDefault="0007419A"/>
    <w:sectPr w:rsidR="0007419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1BE"/>
    <w:rsid w:val="0007419A"/>
    <w:rsid w:val="0019519D"/>
    <w:rsid w:val="0029435F"/>
    <w:rsid w:val="009231B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679166-BF49-47B4-8C6E-81F054649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95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67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3284</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Ιωάννα Λαδάκη</dc:creator>
  <cp:keywords/>
  <dc:description/>
  <cp:lastModifiedBy>Κωνσταντίνος Πετράκης</cp:lastModifiedBy>
  <cp:revision>2</cp:revision>
  <dcterms:created xsi:type="dcterms:W3CDTF">2026-09-14T08:39:00Z</dcterms:created>
  <dcterms:modified xsi:type="dcterms:W3CDTF">2026-09-14T08:39:00Z</dcterms:modified>
</cp:coreProperties>
</file>